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56A" w:rsidRDefault="001A1274">
      <w:pPr>
        <w:pStyle w:val="Title"/>
      </w:pPr>
      <w:r>
        <w:t>Privacy</w:t>
      </w:r>
      <w:r>
        <w:rPr>
          <w:spacing w:val="-16"/>
        </w:rPr>
        <w:t xml:space="preserve"> </w:t>
      </w:r>
      <w:r>
        <w:t>Impact</w:t>
      </w:r>
      <w:r>
        <w:rPr>
          <w:spacing w:val="-15"/>
        </w:rPr>
        <w:t xml:space="preserve"> </w:t>
      </w:r>
      <w:r>
        <w:t>Assessment</w:t>
      </w:r>
      <w:r>
        <w:rPr>
          <w:spacing w:val="-13"/>
        </w:rPr>
        <w:t xml:space="preserve"> </w:t>
      </w:r>
      <w:r>
        <w:rPr>
          <w:spacing w:val="-2"/>
        </w:rPr>
        <w:t>register</w:t>
      </w:r>
    </w:p>
    <w:p w:rsidR="00BB056A" w:rsidRDefault="001A1274">
      <w:pPr>
        <w:pStyle w:val="BodyText"/>
        <w:spacing w:before="388"/>
        <w:ind w:right="132"/>
      </w:pPr>
      <w: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Privacy</w:t>
      </w:r>
      <w:r>
        <w:rPr>
          <w:spacing w:val="-4"/>
        </w:rPr>
        <w:t xml:space="preserve"> </w:t>
      </w:r>
      <w:r>
        <w:t>(Australian</w:t>
      </w:r>
      <w:r>
        <w:rPr>
          <w:spacing w:val="-4"/>
        </w:rPr>
        <w:t xml:space="preserve"> </w:t>
      </w:r>
      <w:r>
        <w:t>Government</w:t>
      </w:r>
      <w:r>
        <w:rPr>
          <w:spacing w:val="-6"/>
        </w:rPr>
        <w:t xml:space="preserve"> </w:t>
      </w:r>
      <w:r>
        <w:t>Agencies –</w:t>
      </w:r>
      <w:r>
        <w:rPr>
          <w:spacing w:val="-2"/>
        </w:rPr>
        <w:t xml:space="preserve"> </w:t>
      </w:r>
      <w:r>
        <w:t>Governance)</w:t>
      </w:r>
      <w:r>
        <w:rPr>
          <w:spacing w:val="-3"/>
        </w:rPr>
        <w:t xml:space="preserve"> </w:t>
      </w:r>
      <w:r>
        <w:t>APP</w:t>
      </w:r>
      <w:r>
        <w:rPr>
          <w:spacing w:val="-4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2017</w:t>
      </w:r>
      <w:r>
        <w:rPr>
          <w:spacing w:val="-2"/>
        </w:rPr>
        <w:t xml:space="preserve"> </w:t>
      </w:r>
      <w:r>
        <w:t>(Privacy Code), the RWTF is required to maintain and publish a register of the Privacy Impact Assessments (PIA) it conducts for all high-risk privacy projects.</w:t>
      </w:r>
    </w:p>
    <w:p w:rsidR="00BB056A" w:rsidRDefault="00BB056A">
      <w:pPr>
        <w:pStyle w:val="BodyText"/>
        <w:ind w:left="0"/>
      </w:pPr>
    </w:p>
    <w:p w:rsidR="00BB056A" w:rsidRDefault="001A1274">
      <w:pPr>
        <w:pStyle w:val="BodyText"/>
        <w:spacing w:before="1"/>
        <w:ind w:right="132"/>
      </w:pPr>
      <w:r>
        <w:t xml:space="preserve">A project may be a high privacy risk project if RWTF reasonably considers that the </w:t>
      </w:r>
      <w:r>
        <w:rPr>
          <w:color w:val="312F30"/>
        </w:rPr>
        <w:t>project involves</w:t>
      </w:r>
      <w:r>
        <w:rPr>
          <w:color w:val="312F30"/>
          <w:spacing w:val="-1"/>
        </w:rPr>
        <w:t xml:space="preserve"> </w:t>
      </w:r>
      <w:r>
        <w:rPr>
          <w:color w:val="312F30"/>
        </w:rPr>
        <w:t>any</w:t>
      </w:r>
      <w:r>
        <w:rPr>
          <w:color w:val="312F30"/>
          <w:spacing w:val="-3"/>
        </w:rPr>
        <w:t xml:space="preserve"> </w:t>
      </w:r>
      <w:r>
        <w:rPr>
          <w:color w:val="312F30"/>
        </w:rPr>
        <w:t>new</w:t>
      </w:r>
      <w:r>
        <w:rPr>
          <w:color w:val="312F30"/>
          <w:spacing w:val="-3"/>
        </w:rPr>
        <w:t xml:space="preserve"> </w:t>
      </w:r>
      <w:r>
        <w:rPr>
          <w:color w:val="312F30"/>
        </w:rPr>
        <w:t>or</w:t>
      </w:r>
      <w:r>
        <w:rPr>
          <w:color w:val="312F30"/>
          <w:spacing w:val="-3"/>
        </w:rPr>
        <w:t xml:space="preserve"> </w:t>
      </w:r>
      <w:r>
        <w:rPr>
          <w:color w:val="312F30"/>
        </w:rPr>
        <w:t>changed</w:t>
      </w:r>
      <w:r>
        <w:rPr>
          <w:color w:val="312F30"/>
          <w:spacing w:val="-1"/>
        </w:rPr>
        <w:t xml:space="preserve"> </w:t>
      </w:r>
      <w:r>
        <w:rPr>
          <w:color w:val="312F30"/>
        </w:rPr>
        <w:t>ways</w:t>
      </w:r>
      <w:r>
        <w:rPr>
          <w:color w:val="312F30"/>
          <w:spacing w:val="-3"/>
        </w:rPr>
        <w:t xml:space="preserve"> </w:t>
      </w:r>
      <w:r>
        <w:rPr>
          <w:color w:val="312F30"/>
        </w:rPr>
        <w:t>of</w:t>
      </w:r>
      <w:r>
        <w:rPr>
          <w:color w:val="312F30"/>
          <w:spacing w:val="-2"/>
        </w:rPr>
        <w:t xml:space="preserve"> </w:t>
      </w:r>
      <w:r>
        <w:rPr>
          <w:color w:val="312F30"/>
        </w:rPr>
        <w:t>handling</w:t>
      </w:r>
      <w:r>
        <w:rPr>
          <w:color w:val="312F30"/>
          <w:spacing w:val="-2"/>
        </w:rPr>
        <w:t xml:space="preserve"> </w:t>
      </w:r>
      <w:r>
        <w:rPr>
          <w:color w:val="312F30"/>
        </w:rPr>
        <w:t>personal</w:t>
      </w:r>
      <w:r>
        <w:rPr>
          <w:color w:val="312F30"/>
          <w:spacing w:val="-2"/>
        </w:rPr>
        <w:t xml:space="preserve"> </w:t>
      </w:r>
      <w:r>
        <w:rPr>
          <w:color w:val="312F30"/>
        </w:rPr>
        <w:t>information</w:t>
      </w:r>
      <w:r>
        <w:rPr>
          <w:color w:val="312F30"/>
          <w:spacing w:val="-3"/>
        </w:rPr>
        <w:t xml:space="preserve"> </w:t>
      </w:r>
      <w:r>
        <w:rPr>
          <w:color w:val="312F30"/>
        </w:rPr>
        <w:t>that</w:t>
      </w:r>
      <w:r>
        <w:rPr>
          <w:color w:val="312F30"/>
          <w:spacing w:val="-2"/>
        </w:rPr>
        <w:t xml:space="preserve"> </w:t>
      </w:r>
      <w:r>
        <w:rPr>
          <w:color w:val="312F30"/>
        </w:rPr>
        <w:t>are</w:t>
      </w:r>
      <w:r>
        <w:rPr>
          <w:color w:val="312F30"/>
          <w:spacing w:val="-3"/>
        </w:rPr>
        <w:t xml:space="preserve"> </w:t>
      </w:r>
      <w:r>
        <w:rPr>
          <w:color w:val="312F30"/>
        </w:rPr>
        <w:t>likely</w:t>
      </w:r>
      <w:r>
        <w:rPr>
          <w:color w:val="312F30"/>
          <w:spacing w:val="-3"/>
        </w:rPr>
        <w:t xml:space="preserve"> </w:t>
      </w:r>
      <w:r>
        <w:rPr>
          <w:color w:val="312F30"/>
        </w:rPr>
        <w:t>to</w:t>
      </w:r>
      <w:r>
        <w:rPr>
          <w:color w:val="312F30"/>
          <w:spacing w:val="-1"/>
        </w:rPr>
        <w:t xml:space="preserve"> </w:t>
      </w:r>
      <w:r>
        <w:rPr>
          <w:color w:val="312F30"/>
        </w:rPr>
        <w:t>have</w:t>
      </w:r>
      <w:r>
        <w:rPr>
          <w:color w:val="312F30"/>
          <w:spacing w:val="-3"/>
        </w:rPr>
        <w:t xml:space="preserve"> </w:t>
      </w:r>
      <w:r>
        <w:rPr>
          <w:color w:val="312F30"/>
        </w:rPr>
        <w:t>a significant impact on the privacy of individuals.</w:t>
      </w:r>
    </w:p>
    <w:p w:rsidR="00BB056A" w:rsidRDefault="00BB056A">
      <w:pPr>
        <w:pStyle w:val="BodyText"/>
        <w:ind w:left="0"/>
      </w:pPr>
    </w:p>
    <w:p w:rsidR="00BB056A" w:rsidRDefault="001A1274">
      <w:pPr>
        <w:pStyle w:val="BodyText"/>
        <w:spacing w:line="480" w:lineRule="auto"/>
        <w:ind w:right="723"/>
      </w:pPr>
      <w:r>
        <w:rPr>
          <w:color w:val="312F30"/>
        </w:rPr>
        <w:t>Since</w:t>
      </w:r>
      <w:r>
        <w:rPr>
          <w:color w:val="312F30"/>
          <w:spacing w:val="-2"/>
        </w:rPr>
        <w:t xml:space="preserve"> </w:t>
      </w:r>
      <w:r>
        <w:rPr>
          <w:color w:val="312F30"/>
        </w:rPr>
        <w:t>the</w:t>
      </w:r>
      <w:r>
        <w:rPr>
          <w:color w:val="312F30"/>
          <w:spacing w:val="-2"/>
        </w:rPr>
        <w:t xml:space="preserve"> </w:t>
      </w:r>
      <w:r>
        <w:rPr>
          <w:color w:val="312F30"/>
        </w:rPr>
        <w:t>Privacy</w:t>
      </w:r>
      <w:r>
        <w:rPr>
          <w:color w:val="312F30"/>
          <w:spacing w:val="-3"/>
        </w:rPr>
        <w:t xml:space="preserve"> </w:t>
      </w:r>
      <w:r>
        <w:rPr>
          <w:color w:val="312F30"/>
        </w:rPr>
        <w:t>Code</w:t>
      </w:r>
      <w:r>
        <w:rPr>
          <w:color w:val="312F30"/>
          <w:spacing w:val="-2"/>
        </w:rPr>
        <w:t xml:space="preserve"> </w:t>
      </w:r>
      <w:r>
        <w:rPr>
          <w:color w:val="312F30"/>
        </w:rPr>
        <w:t>came</w:t>
      </w:r>
      <w:r>
        <w:rPr>
          <w:color w:val="312F30"/>
          <w:spacing w:val="-2"/>
        </w:rPr>
        <w:t xml:space="preserve"> </w:t>
      </w:r>
      <w:r>
        <w:rPr>
          <w:color w:val="312F30"/>
        </w:rPr>
        <w:t>into</w:t>
      </w:r>
      <w:r>
        <w:rPr>
          <w:color w:val="312F30"/>
          <w:spacing w:val="-4"/>
        </w:rPr>
        <w:t xml:space="preserve"> </w:t>
      </w:r>
      <w:r>
        <w:rPr>
          <w:color w:val="312F30"/>
        </w:rPr>
        <w:t>effect</w:t>
      </w:r>
      <w:r>
        <w:rPr>
          <w:color w:val="312F30"/>
          <w:spacing w:val="-4"/>
        </w:rPr>
        <w:t xml:space="preserve"> </w:t>
      </w:r>
      <w:r>
        <w:rPr>
          <w:color w:val="312F30"/>
        </w:rPr>
        <w:t>on</w:t>
      </w:r>
      <w:r>
        <w:rPr>
          <w:color w:val="312F30"/>
          <w:spacing w:val="-3"/>
        </w:rPr>
        <w:t xml:space="preserve"> </w:t>
      </w:r>
      <w:r>
        <w:rPr>
          <w:color w:val="312F30"/>
        </w:rPr>
        <w:t>1</w:t>
      </w:r>
      <w:r>
        <w:rPr>
          <w:color w:val="312F30"/>
          <w:spacing w:val="-4"/>
        </w:rPr>
        <w:t xml:space="preserve"> </w:t>
      </w:r>
      <w:r>
        <w:rPr>
          <w:color w:val="312F30"/>
        </w:rPr>
        <w:t>July</w:t>
      </w:r>
      <w:r>
        <w:rPr>
          <w:color w:val="312F30"/>
          <w:spacing w:val="-3"/>
        </w:rPr>
        <w:t xml:space="preserve"> </w:t>
      </w:r>
      <w:r>
        <w:rPr>
          <w:color w:val="312F30"/>
        </w:rPr>
        <w:t>2018,</w:t>
      </w:r>
      <w:r>
        <w:rPr>
          <w:color w:val="312F30"/>
          <w:spacing w:val="-4"/>
        </w:rPr>
        <w:t xml:space="preserve"> </w:t>
      </w:r>
      <w:r>
        <w:rPr>
          <w:color w:val="312F30"/>
        </w:rPr>
        <w:t>RWTF</w:t>
      </w:r>
      <w:r>
        <w:rPr>
          <w:color w:val="312F30"/>
          <w:spacing w:val="-3"/>
        </w:rPr>
        <w:t xml:space="preserve"> </w:t>
      </w:r>
      <w:r>
        <w:rPr>
          <w:color w:val="312F30"/>
        </w:rPr>
        <w:t>has</w:t>
      </w:r>
      <w:r>
        <w:rPr>
          <w:color w:val="312F30"/>
          <w:spacing w:val="-3"/>
        </w:rPr>
        <w:t xml:space="preserve"> </w:t>
      </w:r>
      <w:r>
        <w:rPr>
          <w:color w:val="312F30"/>
        </w:rPr>
        <w:t>conducted</w:t>
      </w:r>
      <w:r>
        <w:rPr>
          <w:color w:val="312F30"/>
          <w:spacing w:val="-3"/>
        </w:rPr>
        <w:t xml:space="preserve"> </w:t>
      </w:r>
      <w:r>
        <w:rPr>
          <w:color w:val="312F30"/>
        </w:rPr>
        <w:t>no</w:t>
      </w:r>
      <w:r>
        <w:rPr>
          <w:color w:val="312F30"/>
          <w:spacing w:val="-2"/>
        </w:rPr>
        <w:t xml:space="preserve"> </w:t>
      </w:r>
      <w:r>
        <w:rPr>
          <w:color w:val="312F30"/>
        </w:rPr>
        <w:t xml:space="preserve">PIAs. </w:t>
      </w:r>
      <w:r>
        <w:t>RWTF will incorporate PIAs into the register as they are completed.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5"/>
        <w:gridCol w:w="2952"/>
        <w:gridCol w:w="2256"/>
        <w:gridCol w:w="2254"/>
      </w:tblGrid>
      <w:tr w:rsidR="00BB056A">
        <w:trPr>
          <w:trHeight w:val="280"/>
        </w:trPr>
        <w:tc>
          <w:tcPr>
            <w:tcW w:w="1555" w:type="dxa"/>
          </w:tcPr>
          <w:p w:rsidR="00BB056A" w:rsidRDefault="001A1274">
            <w:pPr>
              <w:pStyle w:val="TableParagraph"/>
              <w:spacing w:line="260" w:lineRule="exact"/>
              <w:ind w:left="107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Year</w:t>
            </w:r>
          </w:p>
        </w:tc>
        <w:tc>
          <w:tcPr>
            <w:tcW w:w="2952" w:type="dxa"/>
          </w:tcPr>
          <w:p w:rsidR="00BB056A" w:rsidRDefault="001A1274">
            <w:pPr>
              <w:pStyle w:val="TableParagraph"/>
              <w:spacing w:line="260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PIA </w:t>
            </w:r>
            <w:r>
              <w:rPr>
                <w:b/>
                <w:spacing w:val="-2"/>
                <w:sz w:val="23"/>
              </w:rPr>
              <w:t>Title</w:t>
            </w:r>
          </w:p>
        </w:tc>
        <w:tc>
          <w:tcPr>
            <w:tcW w:w="2256" w:type="dxa"/>
          </w:tcPr>
          <w:p w:rsidR="00BB056A" w:rsidRDefault="001A1274">
            <w:pPr>
              <w:pStyle w:val="TableParagraph"/>
              <w:spacing w:line="260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Project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Description</w:t>
            </w:r>
          </w:p>
        </w:tc>
        <w:tc>
          <w:tcPr>
            <w:tcW w:w="2254" w:type="dxa"/>
          </w:tcPr>
          <w:p w:rsidR="00BB056A" w:rsidRDefault="001A1274">
            <w:pPr>
              <w:pStyle w:val="TableParagraph"/>
              <w:spacing w:line="260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Date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Completed</w:t>
            </w:r>
          </w:p>
        </w:tc>
      </w:tr>
      <w:tr w:rsidR="00BB056A">
        <w:trPr>
          <w:trHeight w:val="563"/>
        </w:trPr>
        <w:tc>
          <w:tcPr>
            <w:tcW w:w="1555" w:type="dxa"/>
          </w:tcPr>
          <w:p w:rsidR="00BB056A" w:rsidRDefault="001A1274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2018-</w:t>
            </w:r>
            <w:r>
              <w:rPr>
                <w:spacing w:val="-5"/>
                <w:sz w:val="23"/>
              </w:rPr>
              <w:t>19</w:t>
            </w:r>
          </w:p>
        </w:tc>
        <w:tc>
          <w:tcPr>
            <w:tcW w:w="2952" w:type="dxa"/>
          </w:tcPr>
          <w:p w:rsidR="00BB056A" w:rsidRDefault="00BB05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6" w:type="dxa"/>
          </w:tcPr>
          <w:p w:rsidR="00BB056A" w:rsidRDefault="00BB05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4" w:type="dxa"/>
          </w:tcPr>
          <w:p w:rsidR="00BB056A" w:rsidRDefault="001A1274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pacing w:val="-5"/>
                <w:sz w:val="23"/>
              </w:rPr>
              <w:t>NIL</w:t>
            </w:r>
          </w:p>
        </w:tc>
      </w:tr>
      <w:tr w:rsidR="00BB056A">
        <w:trPr>
          <w:trHeight w:val="561"/>
        </w:trPr>
        <w:tc>
          <w:tcPr>
            <w:tcW w:w="1555" w:type="dxa"/>
          </w:tcPr>
          <w:p w:rsidR="00BB056A" w:rsidRDefault="001A1274">
            <w:pPr>
              <w:pStyle w:val="TableParagraph"/>
              <w:spacing w:line="28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2019-</w:t>
            </w:r>
            <w:r>
              <w:rPr>
                <w:spacing w:val="-5"/>
                <w:sz w:val="23"/>
              </w:rPr>
              <w:t>20</w:t>
            </w:r>
          </w:p>
        </w:tc>
        <w:tc>
          <w:tcPr>
            <w:tcW w:w="2952" w:type="dxa"/>
          </w:tcPr>
          <w:p w:rsidR="00BB056A" w:rsidRDefault="00BB05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6" w:type="dxa"/>
          </w:tcPr>
          <w:p w:rsidR="00BB056A" w:rsidRDefault="00BB05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4" w:type="dxa"/>
          </w:tcPr>
          <w:p w:rsidR="00BB056A" w:rsidRDefault="001A1274">
            <w:pPr>
              <w:pStyle w:val="TableParagraph"/>
              <w:spacing w:line="280" w:lineRule="exact"/>
              <w:ind w:left="108"/>
              <w:rPr>
                <w:sz w:val="23"/>
              </w:rPr>
            </w:pPr>
            <w:r>
              <w:rPr>
                <w:spacing w:val="-5"/>
                <w:sz w:val="23"/>
              </w:rPr>
              <w:t>NIL</w:t>
            </w:r>
          </w:p>
        </w:tc>
      </w:tr>
      <w:tr w:rsidR="00BB056A">
        <w:trPr>
          <w:trHeight w:val="561"/>
        </w:trPr>
        <w:tc>
          <w:tcPr>
            <w:tcW w:w="1555" w:type="dxa"/>
          </w:tcPr>
          <w:p w:rsidR="00BB056A" w:rsidRDefault="001A1274">
            <w:pPr>
              <w:pStyle w:val="TableParagraph"/>
              <w:spacing w:line="28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2020-</w:t>
            </w:r>
            <w:r>
              <w:rPr>
                <w:spacing w:val="-5"/>
                <w:sz w:val="23"/>
              </w:rPr>
              <w:t>21</w:t>
            </w:r>
          </w:p>
        </w:tc>
        <w:tc>
          <w:tcPr>
            <w:tcW w:w="2952" w:type="dxa"/>
          </w:tcPr>
          <w:p w:rsidR="00BB056A" w:rsidRDefault="00BB05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6" w:type="dxa"/>
          </w:tcPr>
          <w:p w:rsidR="00BB056A" w:rsidRDefault="00BB05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4" w:type="dxa"/>
          </w:tcPr>
          <w:p w:rsidR="00BB056A" w:rsidRDefault="001A1274">
            <w:pPr>
              <w:pStyle w:val="TableParagraph"/>
              <w:spacing w:line="280" w:lineRule="exact"/>
              <w:ind w:left="108"/>
              <w:rPr>
                <w:sz w:val="23"/>
              </w:rPr>
            </w:pPr>
            <w:r>
              <w:rPr>
                <w:spacing w:val="-5"/>
                <w:sz w:val="23"/>
              </w:rPr>
              <w:t>NIL</w:t>
            </w:r>
          </w:p>
        </w:tc>
      </w:tr>
      <w:tr w:rsidR="00BB056A">
        <w:trPr>
          <w:trHeight w:val="561"/>
        </w:trPr>
        <w:tc>
          <w:tcPr>
            <w:tcW w:w="1555" w:type="dxa"/>
          </w:tcPr>
          <w:p w:rsidR="00BB056A" w:rsidRDefault="001A1274">
            <w:pPr>
              <w:pStyle w:val="TableParagraph"/>
              <w:spacing w:line="28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2021-</w:t>
            </w:r>
            <w:r>
              <w:rPr>
                <w:spacing w:val="-5"/>
                <w:sz w:val="23"/>
              </w:rPr>
              <w:t>22</w:t>
            </w:r>
          </w:p>
        </w:tc>
        <w:tc>
          <w:tcPr>
            <w:tcW w:w="2952" w:type="dxa"/>
          </w:tcPr>
          <w:p w:rsidR="00BB056A" w:rsidRDefault="00BB05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6" w:type="dxa"/>
          </w:tcPr>
          <w:p w:rsidR="00BB056A" w:rsidRDefault="00BB05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4" w:type="dxa"/>
          </w:tcPr>
          <w:p w:rsidR="00BB056A" w:rsidRDefault="001A1274">
            <w:pPr>
              <w:pStyle w:val="TableParagraph"/>
              <w:spacing w:line="280" w:lineRule="exact"/>
              <w:ind w:left="108"/>
              <w:rPr>
                <w:sz w:val="23"/>
              </w:rPr>
            </w:pPr>
            <w:r>
              <w:rPr>
                <w:spacing w:val="-5"/>
                <w:sz w:val="23"/>
              </w:rPr>
              <w:t>NIL</w:t>
            </w:r>
          </w:p>
        </w:tc>
      </w:tr>
      <w:tr w:rsidR="00BB056A">
        <w:trPr>
          <w:trHeight w:val="561"/>
        </w:trPr>
        <w:tc>
          <w:tcPr>
            <w:tcW w:w="1555" w:type="dxa"/>
          </w:tcPr>
          <w:p w:rsidR="00BB056A" w:rsidRDefault="001A1274">
            <w:pPr>
              <w:pStyle w:val="TableParagraph"/>
              <w:spacing w:line="28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2022-</w:t>
            </w:r>
            <w:r>
              <w:rPr>
                <w:spacing w:val="-5"/>
                <w:sz w:val="23"/>
              </w:rPr>
              <w:t>23</w:t>
            </w:r>
          </w:p>
        </w:tc>
        <w:tc>
          <w:tcPr>
            <w:tcW w:w="2952" w:type="dxa"/>
          </w:tcPr>
          <w:p w:rsidR="00BB056A" w:rsidRDefault="00BB05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6" w:type="dxa"/>
          </w:tcPr>
          <w:p w:rsidR="00BB056A" w:rsidRDefault="00BB05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4" w:type="dxa"/>
          </w:tcPr>
          <w:p w:rsidR="00BB056A" w:rsidRDefault="001A1274">
            <w:pPr>
              <w:pStyle w:val="TableParagraph"/>
              <w:spacing w:line="280" w:lineRule="exact"/>
              <w:ind w:left="108"/>
              <w:rPr>
                <w:sz w:val="23"/>
              </w:rPr>
            </w:pPr>
            <w:r>
              <w:rPr>
                <w:spacing w:val="-5"/>
                <w:sz w:val="23"/>
              </w:rPr>
              <w:t>NIL</w:t>
            </w:r>
          </w:p>
        </w:tc>
      </w:tr>
      <w:tr w:rsidR="001A1274">
        <w:trPr>
          <w:trHeight w:val="561"/>
        </w:trPr>
        <w:tc>
          <w:tcPr>
            <w:tcW w:w="1555" w:type="dxa"/>
          </w:tcPr>
          <w:p w:rsidR="001A1274" w:rsidRDefault="001A1274">
            <w:pPr>
              <w:pStyle w:val="TableParagraph"/>
              <w:spacing w:line="280" w:lineRule="exact"/>
              <w:ind w:left="107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2023-24</w:t>
            </w:r>
          </w:p>
        </w:tc>
        <w:tc>
          <w:tcPr>
            <w:tcW w:w="2952" w:type="dxa"/>
          </w:tcPr>
          <w:p w:rsidR="001A1274" w:rsidRDefault="001A12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6" w:type="dxa"/>
          </w:tcPr>
          <w:p w:rsidR="001A1274" w:rsidRDefault="001A12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4" w:type="dxa"/>
          </w:tcPr>
          <w:p w:rsidR="001A1274" w:rsidRDefault="001A1274">
            <w:pPr>
              <w:pStyle w:val="TableParagraph"/>
              <w:spacing w:line="280" w:lineRule="exact"/>
              <w:ind w:left="108"/>
              <w:rPr>
                <w:spacing w:val="-5"/>
                <w:sz w:val="23"/>
              </w:rPr>
            </w:pPr>
            <w:r>
              <w:rPr>
                <w:spacing w:val="-5"/>
                <w:sz w:val="23"/>
              </w:rPr>
              <w:t>NIL</w:t>
            </w:r>
          </w:p>
        </w:tc>
      </w:tr>
      <w:tr w:rsidR="0049347A">
        <w:trPr>
          <w:trHeight w:val="561"/>
        </w:trPr>
        <w:tc>
          <w:tcPr>
            <w:tcW w:w="1555" w:type="dxa"/>
          </w:tcPr>
          <w:p w:rsidR="0049347A" w:rsidRDefault="0049347A">
            <w:pPr>
              <w:pStyle w:val="TableParagraph"/>
              <w:spacing w:line="280" w:lineRule="exact"/>
              <w:ind w:left="107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2024-25</w:t>
            </w:r>
          </w:p>
        </w:tc>
        <w:tc>
          <w:tcPr>
            <w:tcW w:w="2952" w:type="dxa"/>
          </w:tcPr>
          <w:p w:rsidR="0049347A" w:rsidRDefault="004934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6" w:type="dxa"/>
          </w:tcPr>
          <w:p w:rsidR="0049347A" w:rsidRDefault="004934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4" w:type="dxa"/>
          </w:tcPr>
          <w:p w:rsidR="0049347A" w:rsidRDefault="0049347A">
            <w:pPr>
              <w:pStyle w:val="TableParagraph"/>
              <w:spacing w:line="280" w:lineRule="exact"/>
              <w:ind w:left="108"/>
              <w:rPr>
                <w:spacing w:val="-5"/>
                <w:sz w:val="23"/>
              </w:rPr>
            </w:pPr>
            <w:r>
              <w:rPr>
                <w:spacing w:val="-5"/>
                <w:sz w:val="23"/>
              </w:rPr>
              <w:t>NIL</w:t>
            </w:r>
          </w:p>
        </w:tc>
      </w:tr>
      <w:tr w:rsidR="00734106">
        <w:trPr>
          <w:trHeight w:val="561"/>
        </w:trPr>
        <w:tc>
          <w:tcPr>
            <w:tcW w:w="1555" w:type="dxa"/>
          </w:tcPr>
          <w:p w:rsidR="00734106" w:rsidRDefault="00734106">
            <w:pPr>
              <w:pStyle w:val="TableParagraph"/>
              <w:spacing w:line="280" w:lineRule="exact"/>
              <w:ind w:left="107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2025-26</w:t>
            </w:r>
          </w:p>
        </w:tc>
        <w:tc>
          <w:tcPr>
            <w:tcW w:w="2952" w:type="dxa"/>
          </w:tcPr>
          <w:p w:rsidR="00734106" w:rsidRDefault="007341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6" w:type="dxa"/>
          </w:tcPr>
          <w:p w:rsidR="00734106" w:rsidRDefault="007341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4" w:type="dxa"/>
          </w:tcPr>
          <w:p w:rsidR="00734106" w:rsidRDefault="00734106">
            <w:pPr>
              <w:pStyle w:val="TableParagraph"/>
              <w:spacing w:line="280" w:lineRule="exact"/>
              <w:ind w:left="108"/>
              <w:rPr>
                <w:spacing w:val="-5"/>
                <w:sz w:val="23"/>
              </w:rPr>
            </w:pPr>
            <w:r>
              <w:rPr>
                <w:spacing w:val="-5"/>
                <w:sz w:val="23"/>
              </w:rPr>
              <w:t>NIL</w:t>
            </w:r>
          </w:p>
        </w:tc>
      </w:tr>
    </w:tbl>
    <w:p w:rsidR="00BB056A" w:rsidRDefault="00BB056A">
      <w:pPr>
        <w:pStyle w:val="BodyText"/>
        <w:spacing w:before="1"/>
        <w:ind w:left="0"/>
      </w:pPr>
    </w:p>
    <w:p w:rsidR="00BB056A" w:rsidRDefault="001A1274">
      <w:pPr>
        <w:pStyle w:val="BodyText"/>
      </w:pPr>
      <w:r>
        <w:t>The</w:t>
      </w:r>
      <w:r>
        <w:rPr>
          <w:spacing w:val="-3"/>
        </w:rPr>
        <w:t xml:space="preserve"> </w:t>
      </w:r>
      <w:r>
        <w:t>register</w:t>
      </w:r>
      <w:r>
        <w:rPr>
          <w:spacing w:val="-5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reviewed</w:t>
      </w:r>
      <w:r>
        <w:rPr>
          <w:spacing w:val="-3"/>
        </w:rPr>
        <w:t xml:space="preserve"> </w:t>
      </w:r>
      <w:r>
        <w:t>Augus</w:t>
      </w:r>
      <w:bookmarkStart w:id="0" w:name="_GoBack"/>
      <w:bookmarkEnd w:id="0"/>
      <w:r>
        <w:t>t 20</w:t>
      </w:r>
      <w:r w:rsidR="0049347A">
        <w:t>2</w:t>
      </w:r>
      <w:r w:rsidR="00ED6FD3">
        <w:t>6</w:t>
      </w:r>
      <w:r>
        <w:rPr>
          <w:spacing w:val="-2"/>
        </w:rPr>
        <w:t>.</w:t>
      </w:r>
    </w:p>
    <w:sectPr w:rsidR="00BB056A">
      <w:type w:val="continuous"/>
      <w:pgSz w:w="11910" w:h="16840"/>
      <w:pgMar w:top="16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B056A"/>
    <w:rsid w:val="001A1274"/>
    <w:rsid w:val="0049347A"/>
    <w:rsid w:val="00734106"/>
    <w:rsid w:val="00BB056A"/>
    <w:rsid w:val="00ED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DEC00"/>
  <w15:docId w15:val="{4592AF3B-C912-4D85-B946-AA357D217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3"/>
      <w:szCs w:val="23"/>
    </w:rPr>
  </w:style>
  <w:style w:type="paragraph" w:styleId="Title">
    <w:name w:val="Title"/>
    <w:basedOn w:val="Normal"/>
    <w:uiPriority w:val="1"/>
    <w:qFormat/>
    <w:pPr>
      <w:spacing w:before="18"/>
      <w:ind w:left="10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746</Characters>
  <Application>Microsoft Office Word</Application>
  <DocSecurity>0</DocSecurity>
  <Lines>6</Lines>
  <Paragraphs>1</Paragraphs>
  <ScaleCrop>false</ScaleCrop>
  <Company>Defence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Stewart, Heather MRS 4</cp:lastModifiedBy>
  <cp:revision>5</cp:revision>
  <dcterms:created xsi:type="dcterms:W3CDTF">2024-08-30T00:09:00Z</dcterms:created>
  <dcterms:modified xsi:type="dcterms:W3CDTF">2026-08-20T03:05:00Z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LastSaved">
    <vt:filetime>2024-08-30T00:00:00Z</vt:filetime>
  </property>
  <property fmtid="{D5CDD505-2E9C-101B-9397-08002B2CF9AE}" pid="4" name="Objective-Id">
    <vt:lpwstr>BP43560768</vt:lpwstr>
  </property>
  <property fmtid="{D5CDD505-2E9C-101B-9397-08002B2CF9AE}" pid="5" name="Objective-Title">
    <vt:lpwstr>Privacy Impact Assessment register</vt:lpwstr>
  </property>
  <property fmtid="{D5CDD505-2E9C-101B-9397-08002B2CF9AE}" pid="6" name="Objective-Comment">
    <vt:lpwstr/>
  </property>
  <property fmtid="{D5CDD505-2E9C-101B-9397-08002B2CF9AE}" pid="7" name="Objective-CreationStamp">
    <vt:filetime>2024-08-30T00:13:25Z</vt:filetime>
  </property>
  <property fmtid="{D5CDD505-2E9C-101B-9397-08002B2CF9AE}" pid="8" name="Objective-IsApproved">
    <vt:bool>false</vt:bool>
  </property>
  <property fmtid="{D5CDD505-2E9C-101B-9397-08002B2CF9AE}" pid="9" name="Objective-IsPublished">
    <vt:bool>true</vt:bool>
  </property>
  <property fmtid="{D5CDD505-2E9C-101B-9397-08002B2CF9AE}" pid="10" name="Objective-DatePublished">
    <vt:filetime>2026-08-20T03:05:33Z</vt:filetime>
  </property>
  <property fmtid="{D5CDD505-2E9C-101B-9397-08002B2CF9AE}" pid="11" name="Objective-ModificationStamp">
    <vt:filetime>2026-08-20T03:05:33Z</vt:filetime>
  </property>
  <property fmtid="{D5CDD505-2E9C-101B-9397-08002B2CF9AE}" pid="12" name="Objective-Owner">
    <vt:lpwstr>Stewart, Heather Mrs 4</vt:lpwstr>
  </property>
  <property fmtid="{D5CDD505-2E9C-101B-9397-08002B2CF9AE}" pid="13" name="Objective-Path">
    <vt:lpwstr>Objective Global Folder - PROD:Defence Business Units:Air Force:Air Force Headquarters:Deputy Chief of Air Force:DGCHAP-AF : Director General Chaplaincy - Air Force:09 Archive:Organisation and Establishment:RWTF:RWTF Policy and Plans:Privacy:Privacy Impact Assessment (PIA)  by OAIC:</vt:lpwstr>
  </property>
  <property fmtid="{D5CDD505-2E9C-101B-9397-08002B2CF9AE}" pid="14" name="Objective-Parent">
    <vt:lpwstr>Privacy Impact Assessment (PIA)  by OAIC</vt:lpwstr>
  </property>
  <property fmtid="{D5CDD505-2E9C-101B-9397-08002B2CF9AE}" pid="15" name="Objective-State">
    <vt:lpwstr>Published</vt:lpwstr>
  </property>
  <property fmtid="{D5CDD505-2E9C-101B-9397-08002B2CF9AE}" pid="16" name="Objective-Version">
    <vt:lpwstr>3.0</vt:lpwstr>
  </property>
  <property fmtid="{D5CDD505-2E9C-101B-9397-08002B2CF9AE}" pid="17" name="Objective-VersionNumber">
    <vt:i4>3</vt:i4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Unclassified]</vt:lpwstr>
  </property>
  <property fmtid="{D5CDD505-2E9C-101B-9397-08002B2CF9AE}" pid="21" name="Objective-Caveats">
    <vt:lpwstr/>
  </property>
  <property fmtid="{D5CDD505-2E9C-101B-9397-08002B2CF9AE}" pid="22" name="Objective-Document Type [system]">
    <vt:lpwstr/>
  </property>
  <property fmtid="{D5CDD505-2E9C-101B-9397-08002B2CF9AE}" pid="23" name="Objective-Reason for Security Classification Change [system]">
    <vt:lpwstr/>
  </property>
  <property fmtid="{D5CDD505-2E9C-101B-9397-08002B2CF9AE}" pid="24" name="Objective-Document Type">
    <vt:lpwstr/>
  </property>
  <property fmtid="{D5CDD505-2E9C-101B-9397-08002B2CF9AE}" pid="25" name="Objective-Reason for Security Classification Change">
    <vt:lpwstr/>
  </property>
</Properties>
</file>